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a8c936c68409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15616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ZA KULTURU SESVETE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486.818,08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689.438,72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488.210,20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707.798,15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1.392,12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18.359,43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1318,8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6.303,74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18.018,22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6.303,74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18.018,22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7.695,86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36.377,65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472,7</w:t>
            </w:r>
          </w:p>
        </w:tc>
      </w:tr>
    </w:tbl>
    <w:p>
      <w:pPr>
        <w:spacing w:before="0" w:after="0"/>
      </w:pPr>
    </w:p>
    <w:p>
      <w:r>
        <w:t xml:space="preserve">Od 1. travnja 2025. ustanova Narodno sveučilište “Sesvete” promijenila je naziv u Centar  za kulturu Sesvete ( u daljnjem tekstu Centar). Centar djeluje kao pravna osoba upisana u sudski registar ustanova i u evidenciju ustanova koju vodi Ministarstvo kulture i medija.  Nadležni ured za djelatnost Centra je Gradski ured za kulturu i civilno društvo.  Tijela Centra su Upravno vijeće i ravnatelj. Upravno vijeće sastoji se od tri člana, od kojih dva imenuje Osnivač, a jednog biraju i imenuju radnici Centra iz svojih redova. Ravnatelj predstavlja i zastupa Centar te organizira  i vodi poslovanje, sukladno zakonu i Statutu. Ravnateljica Centra je Vjekoslava Damjanović, dipl.etnologinja i povjesničarka umjetnosti.  Sukladno članku 13. Statuta, Centar obavlja djelatnosti kulture i edukacija, uključujući: -Organiziranje kazališnih, glazbenih, plesnih, i drugih kulturno-umjetničkih priredbi. -Izložbenu djelatnost, odnosno prezentaciju pokretnih kulturnih dobara. -Javno prikazivanje audiovizualnih djela. -Organiziranje edukativnih programa putem seminara, tečajeva, radionica, tribina i drugih oblika djelovanja iz područja umjetnosti, znanosti, jezika i kulture. Centar također obavlja i druge kulturne i edukativne aktivnosti upisane u sudski registar.</w:t>
      </w:r>
    </w:p>
    <w:p>
      <w:r>
        <w:t xml:space="preserve">Odgovorna osoba za sastavljanje Bilješki uz financijske izvještaje je voditeljica financijskih i računovodstvenih poslova Ivana Barišić, mag.oec.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486.818,08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689.438,72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141,6</w:t>
            </w:r>
          </w:p>
        </w:tc>
      </w:tr>
    </w:tbl>
    <w:p>
      <w:pPr>
        <w:spacing w:before="0" w:after="0"/>
      </w:pPr>
    </w:p>
    <w:p>
      <w:r>
        <w:t xml:space="preserve">Ukupni prihodi u izvještajnom razdoblju siječanj – prosinac 2025. iznose 689.438,72 €. Prihodi od nadležnog proračuna za financiranje redovne djelatnosti veći su za 46,7% iz više razloga. Od 1.4.2025. imamo jednog zaposlenika više, plaće su porasle krajem prošle godine, a znatno su nam povećana i sredstva za programsku djelatnost. Vlastiti prihodi od pruženih usluga (tečajevi i najam dvorane) također su veći za 49,3% iz razloga što je zaposlena osoba na projekciji filmova pa samim time imamo i više prihoda od tog programa, a i sve veća je ponuda i interes ljudi za naše raznovrsne programe.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13.504,00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12,5</w:t>
            </w:r>
          </w:p>
        </w:tc>
      </w:tr>
    </w:tbl>
    <w:p>
      <w:pPr>
        <w:spacing w:before="0" w:after="0"/>
      </w:pPr>
    </w:p>
    <w:p>
      <w:r>
        <w:t xml:space="preserve">U ovoj godini su znatno manji prihodi od EU jer smo u 2024. godini započeli sa Erasmusom i tada su nam isplaćena znatna sredstva, ali nisu sva koja su bila ugovorena, iako su sva sredstva bila potrošena u 2024. godini. u 2025. godini je doznačen ostatak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prethodnoj godini dobili smo sredstva iz Državnog ureda Hrvata izvan RH za program, e ove godine nismo dobili ništa na toj poziciji.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11.504,00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14,7</w:t>
            </w:r>
          </w:p>
        </w:tc>
      </w:tr>
    </w:tbl>
    <w:p>
      <w:pPr>
        <w:spacing w:before="0" w:after="0"/>
      </w:pPr>
    </w:p>
    <w:p>
      <w:r>
        <w:t xml:space="preserve">U ovoj godini doznačena su nam sredstva od Agencije za mobilnost i programe EU u iznosu od 1.690,65 eura, a odnose se na:</w:t>
      </w:r>
    </w:p>
    <w:p>
      <w:pPr>
        <w:pStyle w:val="ListParagraph"/>
        <w:numPr>
          <w:ilvl w:val="0"/>
          <w:numId w:val="2"/>
        </w:numPr>
      </w:pPr>
      <w:r>
        <w:t xml:space="preserve">Projekt koji je bio započeo i gotovo realiziran u 2024. godini. Vrijednost projekta bila je 12.647,00 i domah je bio gotovo cijeli potrošen. Prvi dio sredstava dobili smo u 2024. godini u iznosu od 11.504,00 eura, a drugi dio, odnosno ostatak u 2025. godini u iznosu od 1.143,00 eura.  </w:t>
      </w:r>
    </w:p>
    <w:p>
      <w:pPr>
        <w:pStyle w:val="ListParagraph"/>
        <w:numPr>
          <w:ilvl w:val="0"/>
          <w:numId w:val="2"/>
        </w:numPr>
      </w:pPr>
      <w:r>
        <w:t xml:space="preserve">Nakon toga doznačena su nam sredstva iz iste agencije u iznosu od 547,65 eura koja su bila namjenjena za konferenciju u Grčkoj i odmah su i potrošena u 2025. godini za tu namjenu.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29.438,52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34.992,75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118,9</w:t>
            </w:r>
          </w:p>
        </w:tc>
      </w:tr>
    </w:tbl>
    <w:p>
      <w:pPr>
        <w:spacing w:before="0" w:after="0"/>
      </w:pPr>
    </w:p>
    <w:p>
      <w:r>
        <w:t xml:space="preserve">Prihodi po posebnim propisima odnose se na organiziranje kazališnih predstava te prodaju ulaznica za kazališne predstave. U ovoj godini imali smo više takvih događanja pa su i prihodi veći sukladno tome za 18,9%.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52.377,19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78.223,40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149,3</w:t>
            </w:r>
          </w:p>
        </w:tc>
      </w:tr>
    </w:tbl>
    <w:p>
      <w:pPr>
        <w:spacing w:before="0" w:after="0"/>
      </w:pPr>
    </w:p>
    <w:p>
      <w:r>
        <w:t xml:space="preserve">Vlastiti prihodi odnose se na prihode od polaznika tečajeva, najam dvorane te projkcije filmova. U ovoj godini je taj iznos veći za 49,3% jer je zaposlena nova osoba na mjesto Više stručne suradnice za audiovizualne programe, koje dosad nismo niti imali pa je samim time realizirano i više kinoprojekcija u ovoj godini. Također, više je polaznika tečajeva, veći broj jednokratnog najma dvorane pa samim time i veći prihod.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391.498,29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574.522,79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146,7</w:t>
            </w:r>
          </w:p>
        </w:tc>
      </w:tr>
    </w:tbl>
    <w:p>
      <w:pPr>
        <w:spacing w:before="0" w:after="0"/>
      </w:pPr>
    </w:p>
    <w:p>
      <w:r>
        <w:t xml:space="preserve">Prihod iz nadležnog proračuna veći je za 46,7% jer imamo jednu osobu više nego lani, plaće su porasle i dobili smo više programskih sredstava nego lani i to za gotovo 77,67%.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293.611,24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421.994,73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143,7</w:t>
            </w:r>
          </w:p>
        </w:tc>
      </w:tr>
    </w:tbl>
    <w:p>
      <w:pPr>
        <w:spacing w:before="0" w:after="0"/>
      </w:pPr>
    </w:p>
    <w:p>
      <w:r>
        <w:t xml:space="preserve">Rashodi za zaposlene su veći za 43,7% iz razloga što su znatno povećane plaće (uvećana osnovica i izmijenjeni koeficijenti), a od 1.4.2025. još je jedna osoba zaposlena.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20.887,69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37.331,71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178,7</w:t>
            </w:r>
          </w:p>
        </w:tc>
      </w:tr>
    </w:tbl>
    <w:p>
      <w:pPr>
        <w:spacing w:before="0" w:after="0"/>
      </w:pPr>
    </w:p>
    <w:p>
      <w:r>
        <w:t xml:space="preserve">Poziciji Ostali rashodi za zaposlene veća je za 78,7% u odnosu na prošlu godinu jer je u ovoj godini isplaćena otpremnina te Dar povodom sv. Nikole tri puta više nego lani.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9.421,99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5.309,24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56,3</w:t>
            </w:r>
          </w:p>
        </w:tc>
      </w:tr>
    </w:tbl>
    <w:p>
      <w:pPr>
        <w:spacing w:before="0" w:after="0"/>
      </w:pPr>
    </w:p>
    <w:p>
      <w:r>
        <w:t xml:space="preserve">Na pozicijama Službena putovanja imamo manji iznos jer smo lani dobili sredstva za Erasmus pa je bilo više službenih putovanja u odnosu na ovu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33.536,79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52.416,57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156,3</w:t>
            </w:r>
          </w:p>
        </w:tc>
      </w:tr>
    </w:tbl>
    <w:p>
      <w:pPr>
        <w:spacing w:before="0" w:after="0"/>
      </w:pPr>
    </w:p>
    <w:p>
      <w:r>
        <w:t xml:space="preserve">Rashodi za materijal i energiju su veći za 56,3% iz razloga jer smo Imali više troška na poziciji Materijal i sirovine koji je bio vezan uz programe Centra, a kako smo ove godine dobili znatno više sredstava za programe, sukladno tome je bilo više i rashoda. </w:t>
      </w:r>
    </w:p>
    <w:p>
      <w:r>
        <w:t xml:space="preserve">Rashodi za energiju su veći zbog toga što su početkom godine stigli računi za struju i grijanje iz kraja 2024.godine.</w:t>
      </w:r>
    </w:p>
    <w:p>
      <w:r>
        <w:t xml:space="preserve">Rashodi za Mt. i dijelove za tekuće i investicijsko održavanje su veći iz tog razloga jer smo u ovoj godini imali veća ulaganje u unaprijeđenje objekta i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133.639,72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206.659,75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154,6</w:t>
            </w:r>
          </w:p>
        </w:tc>
      </w:tr>
    </w:tbl>
    <w:p>
      <w:pPr>
        <w:spacing w:before="0" w:after="0"/>
      </w:pPr>
    </w:p>
    <w:p>
      <w:r>
        <w:t xml:space="preserve">Rashodi za usluge su veći za 54,6% i to za sljedeće pozicije: </w:t>
      </w:r>
    </w:p>
    <w:p>
      <w:pPr>
        <w:pStyle w:val="ListParagraph"/>
        <w:numPr>
          <w:ilvl w:val="0"/>
          <w:numId w:val="2"/>
        </w:numPr>
      </w:pPr>
      <w:r>
        <w:t xml:space="preserve">Usluge za tekuće i investicijsko održavanje- veći iznos zbog izrade projektne dokumentacije vezane uz obnovu krova te električarske radove vezane uz postavljanje kuhinje </w:t>
      </w:r>
    </w:p>
    <w:p>
      <w:pPr>
        <w:pStyle w:val="ListParagraph"/>
        <w:numPr>
          <w:ilvl w:val="0"/>
          <w:numId w:val="2"/>
        </w:numPr>
      </w:pPr>
      <w:r>
        <w:t xml:space="preserve">Usluge promidžbe, zakupnine i najamnine, intelektualne usluge- uslijed povećanja programa u ovoj godini, veći su i troškovi vezani uz rad na programima</w:t>
      </w:r>
    </w:p>
    <w:p>
      <w:pPr>
        <w:pStyle w:val="ListParagraph"/>
        <w:numPr>
          <w:ilvl w:val="0"/>
          <w:numId w:val="2"/>
        </w:numPr>
      </w:pPr>
      <w:r>
        <w:t xml:space="preserve">Računalne usluge- povećanje se odnosi  uz troškove programera i računalnih usluga vezano uz novi zakon o fiskalizaciji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9.308,37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13.122,14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141,0</w:t>
            </w:r>
          </w:p>
        </w:tc>
      </w:tr>
    </w:tbl>
    <w:p>
      <w:pPr>
        <w:spacing w:before="0" w:after="0"/>
      </w:pPr>
    </w:p>
    <w:p>
      <w:r>
        <w:t xml:space="preserve">Povećanje na poziciji Ostali nespomenuti rashodi poslovanja iznosi 41% više nego lani, a odnosi se na:</w:t>
      </w:r>
    </w:p>
    <w:p>
      <w:pPr>
        <w:pStyle w:val="ListParagraph"/>
        <w:numPr>
          <w:ilvl w:val="0"/>
          <w:numId w:val="2"/>
        </w:numPr>
      </w:pPr>
      <w:r>
        <w:t xml:space="preserve">Naknadu za rad predstavničkih i izvršnih tijela- povećan broj sjednica Upravnog vijeća u ovoj godini, a veći dio se odnosio na pokretanje javne nabave vezane uz obnovu krova.</w:t>
      </w:r>
    </w:p>
    <w:p>
      <w:pPr>
        <w:pStyle w:val="ListParagraph"/>
        <w:numPr>
          <w:ilvl w:val="0"/>
          <w:numId w:val="2"/>
        </w:numPr>
      </w:pPr>
      <w:r>
        <w:t xml:space="preserve">reprezentacija, pristojbe i naknade- zbog većeg broja programa za koje su vezani i ti troškovi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6.303,74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18.018,22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285,8</w:t>
            </w:r>
          </w:p>
        </w:tc>
      </w:tr>
    </w:tbl>
    <w:p>
      <w:pPr>
        <w:spacing w:before="0" w:after="0"/>
      </w:pPr>
    </w:p>
    <w:p>
      <w:r>
        <w:t xml:space="preserve">Rashodi za nabavu nefinancijske imovine, ove godine su znatno uvećani i to najvećim djelom zbog toga što smo ove godine dobili novu pozornicu čiji je trošak iznosio nešto više od 13.000 eura. Također, zamijenili smo neka dotrajala računala te klima uređaje.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117.921,58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92.684,69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78,6</w:t>
            </w:r>
          </w:p>
        </w:tc>
      </w:tr>
    </w:tbl>
    <w:p>
      <w:pPr>
        <w:spacing w:before="0" w:after="0"/>
      </w:pPr>
    </w:p>
    <w:p>
      <w:r>
        <w:t xml:space="preserve">Ukupna imovine u 2025. godini je smanjena za 21,40% u odnosu na 2024. godinu jer je smanjena financijska imovina, a odnosi se na sredstva na žiroračunu koja su umanjena toga što smo u 2025. godini platili sve obveze koje su bile povećane u odnosu na 2024., a vezane su uz programske, materijalne i troškove plaće, a sredstva iz nadležnog proračuna su doznačena tek u 2026. godini. </w:t>
      </w:r>
    </w:p>
    <w:p>
      <w:r>
        <w:t xml:space="preserve">Prema izmijenjenom Pravilniku o financijskom izvještavanju dužni smo sastaviti popis ugovornih odnosa i sl. koji mogu postati obveza ili imovina. Izvješćujemo vas da takvih ugovornih odnosa u 2025. godini nismo imali.</w:t>
      </w:r>
    </w:p>
    <w:p>
      <w:r>
        <w:t xml:space="preserve">Također nemamo nikakvih sudskih sporova u tijeku.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117.921,58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92.684,69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78,6</w:t>
            </w:r>
          </w:p>
        </w:tc>
      </w:tr>
    </w:tbl>
    <w:p>
      <w:pPr>
        <w:spacing w:before="0" w:after="0"/>
      </w:pPr>
    </w:p>
    <w:p>
      <w:r>
        <w:t xml:space="preserve">Obveze i vlastiti izvori su umanjeni i to najvećim dijelom zbog toga što je rezultat poslovanja u 2025. u minusu i to -15.318,33 eura zbog većeh rashoda u odnosu na prihod zbog velikih iznosa koja su nam doznačena iz nadležnog proračuna tek u 2026. godini., a vezano uz troškove plaće, materijalne i programske troškove.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Rekreacija, kultura i religija (šifre 081 do 086)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494.513,94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725.816,37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146,8</w:t>
            </w:r>
          </w:p>
        </w:tc>
      </w:tr>
    </w:tbl>
    <w:p>
      <w:pPr>
        <w:spacing w:before="0" w:after="0"/>
      </w:pPr>
    </w:p>
    <w:p>
      <w:r>
        <w:t xml:space="preserve">Ukupno ostvareni rashodi u 2025. godini uvećani su za 46,8% u odnosu na 2024. godinu iz razloga jer je ostvareno više prihoda za programe iz nadležnog proračuna i vlastitih prihoda zbog većeg interesa javnosti za programe te od 1.4.2025. jedna zaposlena osoba više u Centru; povećane plaće u 2025. pa sukladno svemu tome je i više troškova koji su nastali slijedom navedenog.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13.226,96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Promjene u vrijednosti i obujmu imovine, odnose se na tekuću amortizaciju.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45.542,85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na kraju izvještajnog razdoblja iznosi 45.542,85 € , a odnose se na plaće zaposlenika, materijalne i financijske rashode.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iznose 1.668,89 eura, a odnose se jednim dijelom na račune koji su kasnili zbog situacije sa fiskalizacijom, nisu bili u mogućnosti poslati e-račun na vrijeme, poslani tek u 2026. godini, a teretili su 2025. godinu i dospijeće im je bilo u 2025.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ovoj godini doznačena su nam sredstva od Agencije za mobilnost i programe EU u iznosu od 1.690,65 eura, a odnose se na:</w:t>
      </w:r>
    </w:p>
    <w:p>
      <w:r>
        <w:t xml:space="preserve">Projekt koji je bio započeo i gotovo realiziran u 2024. godini. Vrijednost projekta bila je 12.647,00 i domah je bio gotovo cijeli potrošen. Prvi dio sredstava dobili smo u 2024. godini u iznosu od 11.504,00 eura, a drugi dio, odnosno ostatak u 2025. godini u iznosu od 1.143,00 eura.  </w:t>
      </w:r>
      <w:r>
        <w:br/>
      </w:r>
      <w:r>
        <w:t xml:space="preserve">Nakon toga doznačena su nam sredstva iz iste agencije u iznosu od 547,65 eura koja su bila namjenjena za konferenciju u Grčkoj i odmah su i potrošena u 2025. godini za tu namjenu. 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79bc25bb6b4b6c" /><Relationship Type="http://schemas.openxmlformats.org/officeDocument/2006/relationships/numbering" Target="/word/numbering.xml" Id="R740a99fb6e314875" /></Relationships>
</file>